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75F" w:rsidRDefault="0001175F" w:rsidP="004E0FD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Kenter heeft Keurmerk Basis GGZ</w:t>
      </w:r>
      <w:bookmarkStart w:id="0" w:name="_GoBack"/>
      <w:bookmarkEnd w:id="0"/>
    </w:p>
    <w:p w:rsidR="001026AA" w:rsidRPr="001026AA" w:rsidRDefault="001026AA" w:rsidP="004E0FDE">
      <w:pPr>
        <w:rPr>
          <w:rFonts w:ascii="Calibri" w:eastAsia="Calibri" w:hAnsi="Calibri" w:cs="Calibri"/>
          <w:sz w:val="22"/>
          <w:szCs w:val="22"/>
        </w:rPr>
      </w:pPr>
      <w:r w:rsidRPr="004E0FDE">
        <w:rPr>
          <w:rFonts w:ascii="Calibri" w:eastAsia="Calibri" w:hAnsi="Calibri" w:cs="Calibri"/>
          <w:sz w:val="22"/>
          <w:szCs w:val="22"/>
        </w:rPr>
        <w:t>Kenter Jeugdhulp voldoet aantoonbaar aan alle normen van het Keurmerk Basis GGZ 2017. Met dit keurmerk laat Kenter zien dat zij z</w:t>
      </w:r>
      <w:r w:rsidR="004E0FDE" w:rsidRPr="004E0FDE">
        <w:rPr>
          <w:rFonts w:ascii="Calibri" w:eastAsia="Calibri" w:hAnsi="Calibri" w:cs="Calibri"/>
          <w:sz w:val="22"/>
          <w:szCs w:val="22"/>
        </w:rPr>
        <w:t xml:space="preserve">ich </w:t>
      </w:r>
      <w:r w:rsidRPr="004E0FDE">
        <w:rPr>
          <w:rFonts w:ascii="Calibri" w:eastAsia="Calibri" w:hAnsi="Calibri" w:cs="Calibri"/>
          <w:sz w:val="22"/>
          <w:szCs w:val="22"/>
        </w:rPr>
        <w:t>extra inspant voor 'de juiste zorg op het juiste moment' binnen de Generalistische Basis GGZ.</w:t>
      </w:r>
      <w:r w:rsidR="004E0FDE" w:rsidRPr="004E0FDE">
        <w:rPr>
          <w:rFonts w:ascii="Calibri" w:eastAsia="Calibri" w:hAnsi="Calibri" w:cs="Calibri"/>
          <w:sz w:val="22"/>
          <w:szCs w:val="22"/>
        </w:rPr>
        <w:t xml:space="preserve"> Om dit keurmerk te krijgen moet een instelling voldoen aan een aantal </w:t>
      </w:r>
      <w:r w:rsidRPr="001026AA">
        <w:rPr>
          <w:rFonts w:ascii="Calibri" w:eastAsia="Calibri" w:hAnsi="Calibri" w:cs="Calibri"/>
          <w:sz w:val="22"/>
          <w:szCs w:val="22"/>
        </w:rPr>
        <w:t>Normen en criteria Keurmerk Basis GGZ  2017</w:t>
      </w:r>
    </w:p>
    <w:p w:rsidR="001026AA" w:rsidRPr="001026AA" w:rsidRDefault="001026AA" w:rsidP="001026AA">
      <w:pPr>
        <w:spacing w:after="160" w:line="259" w:lineRule="auto"/>
        <w:rPr>
          <w:rFonts w:ascii="Calibri" w:eastAsia="Calibri" w:hAnsi="Calibri" w:cs="Calibri"/>
          <w:sz w:val="22"/>
          <w:szCs w:val="22"/>
        </w:rPr>
      </w:pPr>
      <w:r w:rsidRPr="001026AA">
        <w:rPr>
          <w:rFonts w:ascii="Calibri" w:eastAsia="Calibri" w:hAnsi="Calibri" w:cs="Calibri"/>
          <w:sz w:val="22"/>
          <w:szCs w:val="22"/>
        </w:rPr>
        <w:t xml:space="preserve">Het Keurmerk Basis GGZ 2017 omvat 9 normen verdeeld over drie thema’s – deze staan hieronder. </w:t>
      </w:r>
    </w:p>
    <w:p w:rsidR="001026AA" w:rsidRPr="001026AA" w:rsidRDefault="001026AA" w:rsidP="001026AA">
      <w:pPr>
        <w:keepNext/>
        <w:keepLines/>
        <w:spacing w:before="40" w:after="0" w:line="259" w:lineRule="auto"/>
        <w:outlineLvl w:val="4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1026AA">
        <w:rPr>
          <w:rFonts w:ascii="Calibri Light" w:eastAsia="Times New Roman" w:hAnsi="Calibri Light" w:cs="Times New Roman"/>
          <w:b/>
          <w:bCs/>
          <w:sz w:val="28"/>
          <w:szCs w:val="28"/>
        </w:rPr>
        <w:t>Thema 1 – Cliëntgericht behandelen</w:t>
      </w:r>
    </w:p>
    <w:p w:rsidR="001026AA" w:rsidRPr="001026AA" w:rsidRDefault="001026AA" w:rsidP="001026AA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hyperlink r:id="rId4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1.</w:t>
        </w:r>
        <w:r w:rsidRPr="001026AA">
          <w:rPr>
            <w:rFonts w:ascii="Calibri" w:eastAsia="Calibri" w:hAnsi="Calibri" w:cs="Calibri"/>
            <w:sz w:val="22"/>
            <w:szCs w:val="22"/>
          </w:rPr>
          <w:t xml:space="preserve"> De behandeling van de cliënt berust op gezamenlijke besluitvorming van de cliënt en de behandelaar</w:t>
        </w:r>
        <w:r w:rsidRPr="001026AA">
          <w:rPr>
            <w:rFonts w:ascii="Calibri" w:eastAsia="Calibri" w:hAnsi="Calibri" w:cs="Times New Roman"/>
            <w:sz w:val="22"/>
            <w:szCs w:val="22"/>
          </w:rPr>
          <w:br/>
        </w:r>
      </w:hyperlink>
      <w:hyperlink r:id="rId5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2.</w:t>
        </w:r>
        <w:r w:rsidRPr="001026AA">
          <w:rPr>
            <w:rFonts w:ascii="Calibri" w:eastAsia="Calibri" w:hAnsi="Calibri" w:cs="Calibri"/>
            <w:sz w:val="22"/>
            <w:szCs w:val="22"/>
          </w:rPr>
          <w:t xml:space="preserve"> De GBGGZ-aanbieder werkt systematisch en </w:t>
        </w:r>
        <w:proofErr w:type="spellStart"/>
        <w:r w:rsidRPr="001026AA">
          <w:rPr>
            <w:rFonts w:ascii="Calibri" w:eastAsia="Calibri" w:hAnsi="Calibri" w:cs="Calibri"/>
            <w:sz w:val="22"/>
            <w:szCs w:val="22"/>
          </w:rPr>
          <w:t>evidence</w:t>
        </w:r>
        <w:proofErr w:type="spellEnd"/>
        <w:r w:rsidRPr="001026AA">
          <w:rPr>
            <w:rFonts w:ascii="Calibri" w:eastAsia="Calibri" w:hAnsi="Calibri" w:cs="Calibri"/>
            <w:sz w:val="22"/>
            <w:szCs w:val="22"/>
          </w:rPr>
          <w:t xml:space="preserve"> </w:t>
        </w:r>
        <w:proofErr w:type="spellStart"/>
        <w:r w:rsidRPr="001026AA">
          <w:rPr>
            <w:rFonts w:ascii="Calibri" w:eastAsia="Calibri" w:hAnsi="Calibri" w:cs="Calibri"/>
            <w:sz w:val="22"/>
            <w:szCs w:val="22"/>
          </w:rPr>
          <w:t>based</w:t>
        </w:r>
        <w:proofErr w:type="spellEnd"/>
        <w:r w:rsidRPr="001026AA">
          <w:rPr>
            <w:rFonts w:ascii="Calibri" w:eastAsia="Calibri" w:hAnsi="Calibri" w:cs="Times New Roman"/>
            <w:sz w:val="22"/>
            <w:szCs w:val="22"/>
          </w:rPr>
          <w:br/>
        </w:r>
      </w:hyperlink>
      <w:hyperlink r:id="rId6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3.</w:t>
        </w:r>
        <w:r w:rsidRPr="001026AA">
          <w:rPr>
            <w:rFonts w:ascii="Calibri" w:eastAsia="Calibri" w:hAnsi="Calibri" w:cs="Calibri"/>
            <w:sz w:val="22"/>
            <w:szCs w:val="22"/>
          </w:rPr>
          <w:t xml:space="preserve"> De GBGGZ-aanbieder meet cliëntervaringen en is transparant over de uitkomsten</w:t>
        </w:r>
        <w:r w:rsidRPr="001026AA">
          <w:rPr>
            <w:rFonts w:ascii="Calibri" w:eastAsia="Calibri" w:hAnsi="Calibri" w:cs="Times New Roman"/>
            <w:sz w:val="22"/>
            <w:szCs w:val="22"/>
          </w:rPr>
          <w:br/>
        </w:r>
      </w:hyperlink>
      <w:hyperlink r:id="rId7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4.</w:t>
        </w:r>
        <w:r w:rsidRPr="001026AA">
          <w:rPr>
            <w:rFonts w:ascii="Calibri" w:eastAsia="Calibri" w:hAnsi="Calibri" w:cs="Calibri"/>
            <w:sz w:val="22"/>
            <w:szCs w:val="22"/>
          </w:rPr>
          <w:t xml:space="preserve"> De GBGGZ-aanbieder biedt herstelgerichte zorg aan cliënten met chronische problematiek</w:t>
        </w:r>
        <w:r w:rsidRPr="001026AA">
          <w:rPr>
            <w:rFonts w:ascii="Calibri" w:eastAsia="Calibri" w:hAnsi="Calibri" w:cs="Times New Roman"/>
            <w:sz w:val="22"/>
            <w:szCs w:val="22"/>
          </w:rPr>
          <w:br/>
        </w:r>
      </w:hyperlink>
      <w:hyperlink r:id="rId8">
        <w:r w:rsidRPr="001026AA">
          <w:rPr>
            <w:rFonts w:ascii="Calibri" w:eastAsia="Calibri" w:hAnsi="Calibri" w:cs="Calibri"/>
            <w:sz w:val="22"/>
            <w:szCs w:val="22"/>
          </w:rPr>
          <w:t xml:space="preserve"> </w:t>
        </w:r>
        <w:r w:rsidRPr="001026AA">
          <w:rPr>
            <w:rFonts w:ascii="Calibri" w:eastAsia="Calibri" w:hAnsi="Calibri" w:cs="Calibri"/>
            <w:i/>
            <w:iCs/>
            <w:sz w:val="22"/>
            <w:szCs w:val="22"/>
          </w:rPr>
          <w:t>Norm 4 geldt alleen voor GBGGZ-aanbieder die in 2017 zorg bieden binnen het echelon GBGGZ Chronisch (niet voor Kenter)</w:t>
        </w:r>
        <w:r w:rsidRPr="001026AA">
          <w:rPr>
            <w:rFonts w:ascii="Calibri" w:eastAsia="Calibri" w:hAnsi="Calibri" w:cs="Times New Roman"/>
            <w:sz w:val="22"/>
            <w:szCs w:val="22"/>
          </w:rPr>
          <w:br/>
        </w:r>
      </w:hyperlink>
      <w:hyperlink r:id="rId9">
        <w:r w:rsidRPr="001026AA">
          <w:rPr>
            <w:rFonts w:ascii="Calibri" w:eastAsia="Calibri" w:hAnsi="Calibri" w:cs="Calibri"/>
            <w:sz w:val="22"/>
            <w:szCs w:val="22"/>
            <w:u w:val="single"/>
          </w:rPr>
          <w:t xml:space="preserve"> </w:t>
        </w:r>
      </w:hyperlink>
    </w:p>
    <w:p w:rsidR="001026AA" w:rsidRPr="001026AA" w:rsidRDefault="001026AA" w:rsidP="001026AA">
      <w:pPr>
        <w:keepNext/>
        <w:keepLines/>
        <w:spacing w:before="40" w:after="0" w:line="259" w:lineRule="auto"/>
        <w:outlineLvl w:val="4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1026AA">
        <w:rPr>
          <w:rFonts w:ascii="Calibri Light" w:eastAsia="Times New Roman" w:hAnsi="Calibri Light" w:cs="Times New Roman"/>
          <w:b/>
          <w:bCs/>
          <w:sz w:val="28"/>
          <w:szCs w:val="28"/>
        </w:rPr>
        <w:t>Thema 2 – Samenwerken in de keten</w:t>
      </w:r>
    </w:p>
    <w:p w:rsidR="004E0FDE" w:rsidRDefault="001026AA" w:rsidP="004E0FDE">
      <w:pPr>
        <w:spacing w:after="160" w:line="259" w:lineRule="auto"/>
        <w:rPr>
          <w:rFonts w:ascii="Calibri" w:eastAsia="Calibri" w:hAnsi="Calibri" w:cs="Times New Roman"/>
          <w:sz w:val="22"/>
          <w:szCs w:val="22"/>
        </w:rPr>
      </w:pPr>
      <w:hyperlink r:id="rId10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5.</w:t>
        </w:r>
        <w:r w:rsidRPr="001026AA">
          <w:rPr>
            <w:rFonts w:ascii="Calibri" w:eastAsia="Calibri" w:hAnsi="Calibri" w:cs="Calibri"/>
            <w:sz w:val="22"/>
            <w:szCs w:val="22"/>
          </w:rPr>
          <w:t xml:space="preserve"> De GBGGZ-aanbieder is transparant over haar werkwijze</w:t>
        </w:r>
        <w:r w:rsidRPr="001026AA">
          <w:rPr>
            <w:rFonts w:ascii="Calibri" w:eastAsia="Calibri" w:hAnsi="Calibri" w:cs="Times New Roman"/>
            <w:sz w:val="22"/>
            <w:szCs w:val="22"/>
          </w:rPr>
          <w:br/>
        </w:r>
      </w:hyperlink>
      <w:hyperlink r:id="rId11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6.</w:t>
        </w:r>
        <w:r w:rsidRPr="001026AA">
          <w:rPr>
            <w:rFonts w:ascii="Calibri" w:eastAsia="Calibri" w:hAnsi="Calibri" w:cs="Calibri"/>
            <w:sz w:val="22"/>
            <w:szCs w:val="22"/>
          </w:rPr>
          <w:t xml:space="preserve"> De GBGGZ-aanbieder is onderdeel van een professioneel netwerk</w:t>
        </w:r>
        <w:r w:rsidRPr="001026AA">
          <w:rPr>
            <w:rFonts w:ascii="Calibri" w:eastAsia="Calibri" w:hAnsi="Calibri" w:cs="Times New Roman"/>
            <w:sz w:val="22"/>
            <w:szCs w:val="22"/>
          </w:rPr>
          <w:br/>
        </w:r>
      </w:hyperlink>
    </w:p>
    <w:p w:rsidR="001026AA" w:rsidRPr="001026AA" w:rsidRDefault="001026AA" w:rsidP="004E0FDE">
      <w:pPr>
        <w:keepNext/>
        <w:keepLines/>
        <w:spacing w:before="40" w:after="0" w:line="259" w:lineRule="auto"/>
        <w:outlineLvl w:val="4"/>
        <w:rPr>
          <w:rFonts w:ascii="Calibri Light" w:eastAsia="Times New Roman" w:hAnsi="Calibri Light" w:cs="Times New Roman"/>
          <w:b/>
          <w:bCs/>
          <w:sz w:val="28"/>
          <w:szCs w:val="28"/>
        </w:rPr>
      </w:pPr>
      <w:r w:rsidRPr="001026AA">
        <w:rPr>
          <w:rFonts w:ascii="Calibri Light" w:eastAsia="Times New Roman" w:hAnsi="Calibri Light" w:cs="Times New Roman"/>
          <w:b/>
          <w:bCs/>
          <w:sz w:val="28"/>
          <w:szCs w:val="28"/>
        </w:rPr>
        <w:t>Thema 3 – Continu verbeteren en innoveren</w:t>
      </w:r>
    </w:p>
    <w:p w:rsidR="001026AA" w:rsidRPr="001026AA" w:rsidRDefault="001026AA" w:rsidP="001026A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hyperlink r:id="rId12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7.</w:t>
        </w:r>
        <w:r w:rsidRPr="004E0FDE">
          <w:rPr>
            <w:rFonts w:ascii="Calibri" w:eastAsia="Calibri" w:hAnsi="Calibri" w:cs="Calibri"/>
            <w:b/>
            <w:bCs/>
            <w:sz w:val="22"/>
            <w:szCs w:val="22"/>
          </w:rPr>
          <w:t xml:space="preserve"> </w:t>
        </w:r>
        <w:r w:rsidRPr="004E0FDE">
          <w:rPr>
            <w:rFonts w:ascii="Calibri" w:eastAsia="Calibri" w:hAnsi="Calibri" w:cs="Calibri"/>
            <w:bCs/>
            <w:sz w:val="22"/>
            <w:szCs w:val="22"/>
          </w:rPr>
          <w:t>De GBGGZ-aanbieder gebruikt inzichten om het zorgproces en de effecten van behandeling te monitoren, te evalueren en te verbeteren</w:t>
        </w:r>
      </w:hyperlink>
      <w:r w:rsidR="004E0FDE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</w:t>
      </w:r>
      <w:hyperlink r:id="rId13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8.</w:t>
        </w:r>
        <w:r w:rsidRPr="004E0FDE">
          <w:rPr>
            <w:rFonts w:ascii="Calibri" w:eastAsia="Calibri" w:hAnsi="Calibri" w:cs="Calibri"/>
            <w:b/>
            <w:bCs/>
            <w:sz w:val="22"/>
            <w:szCs w:val="22"/>
          </w:rPr>
          <w:t xml:space="preserve"> </w:t>
        </w:r>
        <w:r w:rsidRPr="004E0FDE">
          <w:rPr>
            <w:rFonts w:ascii="Calibri" w:eastAsia="Calibri" w:hAnsi="Calibri" w:cs="Calibri"/>
            <w:bCs/>
            <w:sz w:val="22"/>
            <w:szCs w:val="22"/>
          </w:rPr>
          <w:t>De GBGGZ-aanbieder past in de regel eHealth toe</w:t>
        </w:r>
      </w:hyperlink>
      <w:r w:rsidRPr="001026AA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4E0FDE">
        <w:rPr>
          <w:rFonts w:ascii="Calibri" w:eastAsia="Calibri" w:hAnsi="Calibri" w:cs="Calibri"/>
          <w:b/>
          <w:bCs/>
          <w:sz w:val="22"/>
          <w:szCs w:val="22"/>
        </w:rPr>
        <w:t xml:space="preserve">                                                                             </w:t>
      </w:r>
      <w:hyperlink r:id="rId14">
        <w:r w:rsidRPr="001026AA">
          <w:rPr>
            <w:rFonts w:ascii="Calibri" w:eastAsia="Calibri" w:hAnsi="Calibri" w:cs="Calibri"/>
            <w:b/>
            <w:bCs/>
            <w:sz w:val="22"/>
            <w:szCs w:val="22"/>
          </w:rPr>
          <w:t>Norm 9.</w:t>
        </w:r>
        <w:r w:rsidRPr="004E0FDE">
          <w:rPr>
            <w:rFonts w:ascii="Calibri" w:eastAsia="Calibri" w:hAnsi="Calibri" w:cs="Calibri"/>
            <w:b/>
            <w:bCs/>
            <w:sz w:val="22"/>
            <w:szCs w:val="22"/>
          </w:rPr>
          <w:t xml:space="preserve"> </w:t>
        </w:r>
        <w:r w:rsidRPr="004E0FDE">
          <w:rPr>
            <w:rFonts w:ascii="Calibri" w:eastAsia="Calibri" w:hAnsi="Calibri" w:cs="Calibri"/>
            <w:bCs/>
            <w:sz w:val="22"/>
            <w:szCs w:val="22"/>
          </w:rPr>
          <w:t>De GBGGZ-aanbieder draagt bij aan het verder ontwikkelen van de GBGGZ</w:t>
        </w:r>
      </w:hyperlink>
    </w:p>
    <w:p w:rsidR="001026AA" w:rsidRPr="001026AA" w:rsidRDefault="001026AA" w:rsidP="001026AA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1026AA" w:rsidRDefault="001026AA"/>
    <w:sectPr w:rsidR="00102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6AA"/>
    <w:rsid w:val="0001175F"/>
    <w:rsid w:val="001026AA"/>
    <w:rsid w:val="00371568"/>
    <w:rsid w:val="003E1E2C"/>
    <w:rsid w:val="00405BC1"/>
    <w:rsid w:val="004E0FDE"/>
    <w:rsid w:val="009303E1"/>
    <w:rsid w:val="00955E0C"/>
    <w:rsid w:val="00A1308B"/>
    <w:rsid w:val="00F82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F8FE6F-F117-40C0-A90E-F15BED38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82F94"/>
  </w:style>
  <w:style w:type="paragraph" w:styleId="Kop1">
    <w:name w:val="heading 1"/>
    <w:basedOn w:val="Standaard"/>
    <w:next w:val="Standaard"/>
    <w:link w:val="Kop1Char"/>
    <w:uiPriority w:val="9"/>
    <w:qFormat/>
    <w:rsid w:val="00F82F94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F82F94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F82F9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F82F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F82F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F82F9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F82F9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F82F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F82F9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82F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F82F94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F82F94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F82F94"/>
    <w:rPr>
      <w:rFonts w:asciiTheme="majorHAnsi" w:eastAsiaTheme="majorEastAsia" w:hAnsiTheme="majorHAnsi" w:cstheme="majorBidi"/>
      <w:sz w:val="22"/>
      <w:szCs w:val="22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F82F94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F82F94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F82F94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F82F94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F82F94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F82F94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el">
    <w:name w:val="Title"/>
    <w:basedOn w:val="Standaard"/>
    <w:next w:val="Standaard"/>
    <w:link w:val="TitelChar"/>
    <w:uiPriority w:val="10"/>
    <w:qFormat/>
    <w:rsid w:val="00F82F94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82F94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82F94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82F94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F82F94"/>
    <w:rPr>
      <w:b/>
      <w:bCs/>
    </w:rPr>
  </w:style>
  <w:style w:type="character" w:styleId="Nadruk">
    <w:name w:val="Emphasis"/>
    <w:basedOn w:val="Standaardalinea-lettertype"/>
    <w:uiPriority w:val="20"/>
    <w:qFormat/>
    <w:rsid w:val="00F82F94"/>
    <w:rPr>
      <w:i/>
      <w:iCs/>
    </w:rPr>
  </w:style>
  <w:style w:type="paragraph" w:styleId="Geenafstand">
    <w:name w:val="No Spacing"/>
    <w:uiPriority w:val="1"/>
    <w:qFormat/>
    <w:rsid w:val="00F82F9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F82F94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F82F94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F82F94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F82F94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ielebenadrukking">
    <w:name w:val="Subtle Emphasis"/>
    <w:basedOn w:val="Standaardalinea-lettertype"/>
    <w:uiPriority w:val="19"/>
    <w:qFormat/>
    <w:rsid w:val="00F82F94"/>
    <w:rPr>
      <w:i/>
      <w:iCs/>
      <w:color w:val="404040" w:themeColor="text1" w:themeTint="BF"/>
    </w:rPr>
  </w:style>
  <w:style w:type="character" w:styleId="Intensievebenadrukking">
    <w:name w:val="Intense Emphasis"/>
    <w:basedOn w:val="Standaardalinea-lettertype"/>
    <w:uiPriority w:val="21"/>
    <w:qFormat/>
    <w:rsid w:val="00F82F94"/>
    <w:rPr>
      <w:b/>
      <w:bCs/>
      <w:i/>
      <w:iCs/>
    </w:rPr>
  </w:style>
  <w:style w:type="character" w:styleId="Subtieleverwijzing">
    <w:name w:val="Subtle Reference"/>
    <w:basedOn w:val="Standaardalinea-lettertype"/>
    <w:uiPriority w:val="31"/>
    <w:qFormat/>
    <w:rsid w:val="00F82F94"/>
    <w:rPr>
      <w:smallCaps/>
      <w:color w:val="404040" w:themeColor="text1" w:themeTint="BF"/>
      <w:u w:val="single" w:color="7F7F7F" w:themeColor="text1" w:themeTint="80"/>
    </w:rPr>
  </w:style>
  <w:style w:type="character" w:styleId="Intensieveverwijzing">
    <w:name w:val="Intense Reference"/>
    <w:basedOn w:val="Standaardalinea-lettertype"/>
    <w:uiPriority w:val="32"/>
    <w:qFormat/>
    <w:rsid w:val="00F82F94"/>
    <w:rPr>
      <w:b/>
      <w:bCs/>
      <w:smallCaps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F82F94"/>
    <w:rPr>
      <w:b/>
      <w:bCs/>
      <w:smallCap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82F9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bg.nl/keurmerk-basis-ggz/normen-en-kwalificatieciteria/" TargetMode="External"/><Relationship Id="rId13" Type="http://schemas.openxmlformats.org/officeDocument/2006/relationships/hyperlink" Target="http://kibg.nl/keurmerk-basis-ggz/normen-en-kwalificatieciteri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bg.nl/keurmerk-basis-ggz/normen-en-kwalificatieciteria/" TargetMode="External"/><Relationship Id="rId12" Type="http://schemas.openxmlformats.org/officeDocument/2006/relationships/hyperlink" Target="http://kibg.nl/keurmerk-basis-ggz/normen-en-kwalificatieciteri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kibg.nl/keurmerk-basis-ggz/normen-en-kwalificatieciteria/" TargetMode="External"/><Relationship Id="rId11" Type="http://schemas.openxmlformats.org/officeDocument/2006/relationships/hyperlink" Target="http://kibg.nl/keurmerk-basis-ggz/normen-en-kwalificatieciteria/" TargetMode="External"/><Relationship Id="rId5" Type="http://schemas.openxmlformats.org/officeDocument/2006/relationships/hyperlink" Target="http://kibg.nl/keurmerk-basis-ggz/normen-en-kwalificatieciteria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kibg.nl/keurmerk-basis-ggz/normen-en-kwalificatieciteria/" TargetMode="External"/><Relationship Id="rId4" Type="http://schemas.openxmlformats.org/officeDocument/2006/relationships/hyperlink" Target="http://kibg.nl/keurmerk-basis-ggz/normen-en-kwalificatieciteria/" TargetMode="External"/><Relationship Id="rId9" Type="http://schemas.openxmlformats.org/officeDocument/2006/relationships/hyperlink" Target="http://kibg.nl/keurmerk-basis-ggz/normen-en-kwalificatieciteria/" TargetMode="External"/><Relationship Id="rId14" Type="http://schemas.openxmlformats.org/officeDocument/2006/relationships/hyperlink" Target="http://kibg.nl/keurmerk-basis-ggz/normen-en-kwalificatieciteria/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Colenbrander</dc:creator>
  <cp:keywords/>
  <dc:description/>
  <cp:lastModifiedBy>Marjolein Colenbrander</cp:lastModifiedBy>
  <cp:revision>2</cp:revision>
  <dcterms:created xsi:type="dcterms:W3CDTF">2017-04-18T14:10:00Z</dcterms:created>
  <dcterms:modified xsi:type="dcterms:W3CDTF">2017-04-18T14:30:00Z</dcterms:modified>
</cp:coreProperties>
</file>